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5A" w:rsidRDefault="00B3755A" w:rsidP="00B3755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жильцы!</w:t>
      </w:r>
    </w:p>
    <w:p w:rsidR="00B3755A" w:rsidRDefault="00B3755A" w:rsidP="00B3755A">
      <w:pPr>
        <w:jc w:val="center"/>
        <w:rPr>
          <w:sz w:val="28"/>
          <w:szCs w:val="28"/>
        </w:rPr>
      </w:pPr>
    </w:p>
    <w:p w:rsidR="00B3755A" w:rsidRDefault="00B3755A" w:rsidP="00B3755A">
      <w:pPr>
        <w:jc w:val="center"/>
        <w:rPr>
          <w:sz w:val="28"/>
          <w:szCs w:val="28"/>
        </w:rPr>
      </w:pPr>
    </w:p>
    <w:p w:rsidR="00B3755A" w:rsidRDefault="00B3755A" w:rsidP="00B3755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п.п. 17.2, 17.4 Правил дорожного движения, утвержденных постановлением Правительства РФ от 23 октября 1993 г. №1090,  в жилой зоне запрещаются сквозное движение, учебная езда, стоянка с работающим двигателем, а также стоянка грузовых автомобилей с разрешенной максимальной массой более 3,5 т вне специально выделенных и обозначенных знаками и (или) разметкой мест;</w:t>
      </w:r>
      <w:proofErr w:type="gramEnd"/>
      <w:r>
        <w:rPr>
          <w:sz w:val="28"/>
          <w:szCs w:val="28"/>
        </w:rPr>
        <w:t xml:space="preserve"> подобный запрет распространяется также и на дворовые территории.</w:t>
      </w:r>
    </w:p>
    <w:p w:rsidR="00B3755A" w:rsidRDefault="00B3755A" w:rsidP="00B375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Водители, допускающие стоянку автомобиля с работающим двигателем на придомовой территории, подлежат административной ответственности по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 ст. 12.19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 - предупреждению или штрафу в размере пятисот рублей.  </w:t>
      </w:r>
    </w:p>
    <w:p w:rsidR="000321F7" w:rsidRDefault="000321F7"/>
    <w:sectPr w:rsidR="000321F7" w:rsidSect="00032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755A"/>
    <w:rsid w:val="000321F7"/>
    <w:rsid w:val="00B3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diakov.net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2018-05-04T10:24:00Z</dcterms:created>
  <dcterms:modified xsi:type="dcterms:W3CDTF">2018-05-04T10:24:00Z</dcterms:modified>
</cp:coreProperties>
</file>